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D05D23" w:rsidP="001E641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E641D" w:rsidRPr="001E641D">
              <w:rPr>
                <w:rFonts w:asciiTheme="majorHAnsi" w:hAnsiTheme="majorHAnsi" w:cs="Arial"/>
                <w:b/>
                <w:sz w:val="18"/>
                <w:szCs w:val="18"/>
              </w:rPr>
              <w:t>Anorganske sinteze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1E641D">
              <w:rPr>
                <w:rFonts w:asciiTheme="majorHAnsi" w:hAnsiTheme="majorHAnsi" w:cs="Arial"/>
                <w:b/>
                <w:sz w:val="18"/>
                <w:szCs w:val="18"/>
              </w:rPr>
              <w:t>AS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1E641D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1E641D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86761A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86761A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1E641D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1E641D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1E641D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1E641D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shd w:val="clear" w:color="auto" w:fill="auto"/>
            <w:tcMar>
              <w:top w:w="57" w:type="dxa"/>
            </w:tcMar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1E641D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1E641D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1E641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E641D">
              <w:rPr>
                <w:rFonts w:asciiTheme="majorHAnsi" w:hAnsiTheme="majorHAnsi"/>
                <w:b/>
                <w:sz w:val="18"/>
                <w:szCs w:val="18"/>
              </w:rPr>
              <w:t>33,75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1E641D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1E641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E641D">
              <w:rPr>
                <w:rFonts w:asciiTheme="majorHAnsi" w:hAnsiTheme="majorHAnsi"/>
                <w:b/>
                <w:sz w:val="18"/>
                <w:szCs w:val="18"/>
              </w:rPr>
              <w:t>74,40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1E641D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E641D">
              <w:rPr>
                <w:rFonts w:asciiTheme="majorHAnsi" w:hAnsiTheme="majorHAnsi" w:cs="Arial"/>
                <w:b/>
                <w:sz w:val="18"/>
                <w:szCs w:val="18"/>
              </w:rPr>
              <w:t>108,15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1E641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E641D" w:rsidRPr="001E641D">
              <w:rPr>
                <w:rFonts w:asciiTheme="majorHAnsi" w:hAnsiTheme="majorHAnsi" w:cs="Arial"/>
                <w:b/>
                <w:sz w:val="18"/>
                <w:szCs w:val="18"/>
              </w:rPr>
              <w:t>Prirodno-matematički</w:t>
            </w:r>
            <w:r w:rsidR="001E641D">
              <w:rPr>
                <w:rFonts w:asciiTheme="majorHAnsi" w:hAnsiTheme="majorHAnsi" w:cs="Arial"/>
                <w:b/>
                <w:sz w:val="18"/>
                <w:szCs w:val="18"/>
              </w:rPr>
              <w:t xml:space="preserve"> fakultet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1E641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1E641D">
              <w:rPr>
                <w:rFonts w:asciiTheme="majorHAnsi" w:hAnsiTheme="majorHAnsi" w:cs="Arial"/>
                <w:b/>
                <w:sz w:val="18"/>
                <w:szCs w:val="18"/>
              </w:rPr>
              <w:t>Hemija/Hemija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1E641D" w:rsidRPr="001E641D">
              <w:rPr>
                <w:rFonts w:asciiTheme="majorHAnsi" w:hAnsiTheme="majorHAnsi" w:cs="Arial"/>
                <w:b/>
                <w:sz w:val="18"/>
                <w:szCs w:val="18"/>
              </w:rPr>
              <w:t>Dr.sci. Aldina Kesić, redovni profesor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1E641D" w:rsidRPr="001E641D">
              <w:rPr>
                <w:rFonts w:asciiTheme="majorHAnsi" w:hAnsiTheme="majorHAnsi" w:cs="Arial"/>
                <w:b/>
                <w:sz w:val="18"/>
                <w:szCs w:val="18"/>
              </w:rPr>
              <w:t xml:space="preserve">Cilj modula “Anorganske sinteze” je upoznavanje studenata  sa načinima dizajniranja sintetičkog puta u anorganskoj hemiji te sa odnosima između sinteze, strukture i osobina, kao i karakterizacije nastalih produkata.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1E641D" w:rsidRPr="001E641D">
              <w:rPr>
                <w:rFonts w:asciiTheme="majorHAnsi" w:hAnsiTheme="majorHAnsi" w:cs="Arial"/>
                <w:b/>
                <w:sz w:val="18"/>
                <w:szCs w:val="18"/>
              </w:rPr>
              <w:t xml:space="preserve">Kroz realizaciju postavljenih ciljeva i zadataka u ovom modulu, studenti će ovladati znanjima o putevima sinteze u anorganskoj hemiji. Razvijanje svijesti o značaju ovih proučavanja, te o zavisnosti osobina i strukture finalnih proizvoda od samog sintetskog puta je takođe jedan značajan ishod proučavanja predmeta Anorganske sinteze.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E641D" w:rsidRPr="001E641D" w:rsidRDefault="00D05D23" w:rsidP="001E641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bookmarkStart w:id="3" w:name="_GoBack"/>
            <w:bookmarkEnd w:id="3"/>
            <w:r w:rsidR="001E641D" w:rsidRPr="001E641D">
              <w:rPr>
                <w:rFonts w:asciiTheme="majorHAnsi" w:hAnsiTheme="majorHAnsi" w:cs="Arial"/>
                <w:b/>
                <w:sz w:val="18"/>
                <w:szCs w:val="18"/>
              </w:rPr>
              <w:t>Planiranje sinteze</w:t>
            </w:r>
          </w:p>
          <w:p w:rsidR="001E641D" w:rsidRPr="001E641D" w:rsidRDefault="001E641D" w:rsidP="001E641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E641D">
              <w:rPr>
                <w:rFonts w:asciiTheme="majorHAnsi" w:hAnsiTheme="majorHAnsi" w:cs="Arial"/>
                <w:b/>
                <w:sz w:val="18"/>
                <w:szCs w:val="18"/>
              </w:rPr>
              <w:t>Kvantitativni parametri sintetičkog puta</w:t>
            </w:r>
          </w:p>
          <w:p w:rsidR="001E641D" w:rsidRPr="001E641D" w:rsidRDefault="001E641D" w:rsidP="001E641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E641D">
              <w:rPr>
                <w:rFonts w:asciiTheme="majorHAnsi" w:hAnsiTheme="majorHAnsi" w:cs="Arial"/>
                <w:b/>
                <w:sz w:val="18"/>
                <w:szCs w:val="18"/>
              </w:rPr>
              <w:t>Dizajniranje sintetičkog</w:t>
            </w:r>
          </w:p>
          <w:p w:rsidR="001E641D" w:rsidRPr="001E641D" w:rsidRDefault="001E641D" w:rsidP="001E641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E641D">
              <w:rPr>
                <w:rFonts w:asciiTheme="majorHAnsi" w:hAnsiTheme="majorHAnsi" w:cs="Arial"/>
                <w:b/>
                <w:sz w:val="18"/>
                <w:szCs w:val="18"/>
              </w:rPr>
              <w:t>Proučavanje odnosa između sinteze, strukture i osobina</w:t>
            </w:r>
          </w:p>
          <w:p w:rsidR="001E641D" w:rsidRPr="001E641D" w:rsidRDefault="001E641D" w:rsidP="001E641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E641D">
              <w:rPr>
                <w:rFonts w:asciiTheme="majorHAnsi" w:hAnsiTheme="majorHAnsi" w:cs="Arial"/>
                <w:b/>
                <w:sz w:val="18"/>
                <w:szCs w:val="18"/>
              </w:rPr>
              <w:t>Metode dobijnja i separacije anorganskih supstanci</w:t>
            </w:r>
          </w:p>
          <w:p w:rsidR="001E641D" w:rsidRPr="001E641D" w:rsidRDefault="001E641D" w:rsidP="001E641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E641D">
              <w:rPr>
                <w:rFonts w:asciiTheme="majorHAnsi" w:hAnsiTheme="majorHAnsi" w:cs="Arial"/>
                <w:b/>
                <w:sz w:val="18"/>
                <w:szCs w:val="18"/>
              </w:rPr>
              <w:t>Opšti postupci  sintetičkog puta</w:t>
            </w:r>
          </w:p>
          <w:p w:rsidR="001E641D" w:rsidRPr="001E641D" w:rsidRDefault="001E641D" w:rsidP="001E641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E641D">
              <w:rPr>
                <w:rFonts w:asciiTheme="majorHAnsi" w:hAnsiTheme="majorHAnsi" w:cs="Arial"/>
                <w:b/>
                <w:sz w:val="18"/>
                <w:szCs w:val="18"/>
              </w:rPr>
              <w:t>Elektrohemijske sinteze</w:t>
            </w:r>
          </w:p>
          <w:p w:rsidR="001E641D" w:rsidRPr="001E641D" w:rsidRDefault="001E641D" w:rsidP="001E641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E641D">
              <w:rPr>
                <w:rFonts w:asciiTheme="majorHAnsi" w:hAnsiTheme="majorHAnsi" w:cs="Arial"/>
                <w:b/>
                <w:sz w:val="18"/>
                <w:szCs w:val="18"/>
              </w:rPr>
              <w:t>Sinteze u nevodenim rastvaračima</w:t>
            </w:r>
          </w:p>
          <w:p w:rsidR="001E641D" w:rsidRPr="001E641D" w:rsidRDefault="001E641D" w:rsidP="001E641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E641D">
              <w:rPr>
                <w:rFonts w:asciiTheme="majorHAnsi" w:hAnsiTheme="majorHAnsi" w:cs="Arial"/>
                <w:b/>
                <w:sz w:val="18"/>
                <w:szCs w:val="18"/>
              </w:rPr>
              <w:t>Solvotermalne i hidrotermalne sinteze</w:t>
            </w:r>
          </w:p>
          <w:p w:rsidR="001E641D" w:rsidRPr="001E641D" w:rsidRDefault="001E641D" w:rsidP="001E641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E641D">
              <w:rPr>
                <w:rFonts w:asciiTheme="majorHAnsi" w:hAnsiTheme="majorHAnsi" w:cs="Arial"/>
                <w:b/>
                <w:sz w:val="18"/>
                <w:szCs w:val="18"/>
              </w:rPr>
              <w:t>Metoda ionske izmjene</w:t>
            </w:r>
          </w:p>
          <w:p w:rsidR="001E641D" w:rsidRPr="001E641D" w:rsidRDefault="001E641D" w:rsidP="001E641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E641D">
              <w:rPr>
                <w:rFonts w:asciiTheme="majorHAnsi" w:hAnsiTheme="majorHAnsi" w:cs="Arial"/>
                <w:b/>
                <w:sz w:val="18"/>
                <w:szCs w:val="18"/>
              </w:rPr>
              <w:t>Ekstrakcija pomoću rastvarača</w:t>
            </w:r>
          </w:p>
          <w:p w:rsidR="001E641D" w:rsidRPr="001E641D" w:rsidRDefault="001E641D" w:rsidP="001E641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E641D">
              <w:rPr>
                <w:rFonts w:asciiTheme="majorHAnsi" w:hAnsiTheme="majorHAnsi" w:cs="Arial"/>
                <w:b/>
                <w:sz w:val="18"/>
                <w:szCs w:val="18"/>
              </w:rPr>
              <w:t>Hromatografija</w:t>
            </w:r>
          </w:p>
          <w:p w:rsidR="001E641D" w:rsidRPr="001E641D" w:rsidRDefault="001E641D" w:rsidP="001E641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E641D">
              <w:rPr>
                <w:rFonts w:asciiTheme="majorHAnsi" w:hAnsiTheme="majorHAnsi" w:cs="Arial"/>
                <w:b/>
                <w:sz w:val="18"/>
                <w:szCs w:val="18"/>
              </w:rPr>
              <w:t>Tehnika visokog vakuma</w:t>
            </w:r>
          </w:p>
          <w:p w:rsidR="001E641D" w:rsidRPr="001E641D" w:rsidRDefault="001E641D" w:rsidP="001E641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E641D">
              <w:rPr>
                <w:rFonts w:asciiTheme="majorHAnsi" w:hAnsiTheme="majorHAnsi" w:cs="Arial"/>
                <w:b/>
                <w:sz w:val="18"/>
                <w:szCs w:val="18"/>
              </w:rPr>
              <w:t>Tehnika inertne atmosfere</w:t>
            </w:r>
          </w:p>
          <w:p w:rsidR="001E641D" w:rsidRPr="001E641D" w:rsidRDefault="001E641D" w:rsidP="001E641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E641D">
              <w:rPr>
                <w:rFonts w:asciiTheme="majorHAnsi" w:hAnsiTheme="majorHAnsi" w:cs="Arial"/>
                <w:b/>
                <w:sz w:val="18"/>
                <w:szCs w:val="18"/>
              </w:rPr>
              <w:t>Kristalizacija i kristalna struktura anorganskih supstanci</w:t>
            </w:r>
          </w:p>
          <w:p w:rsidR="001E641D" w:rsidRPr="001E641D" w:rsidRDefault="001E641D" w:rsidP="001E641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E641D">
              <w:rPr>
                <w:rFonts w:asciiTheme="majorHAnsi" w:hAnsiTheme="majorHAnsi" w:cs="Arial"/>
                <w:b/>
                <w:sz w:val="18"/>
                <w:szCs w:val="18"/>
              </w:rPr>
              <w:t>Metode pripremanja monokristala</w:t>
            </w:r>
          </w:p>
          <w:p w:rsidR="001E641D" w:rsidRPr="001E641D" w:rsidRDefault="001E641D" w:rsidP="001E641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E641D">
              <w:rPr>
                <w:rFonts w:asciiTheme="majorHAnsi" w:hAnsiTheme="majorHAnsi" w:cs="Arial"/>
                <w:b/>
                <w:sz w:val="18"/>
                <w:szCs w:val="18"/>
              </w:rPr>
              <w:t>Identifikacija i formuliranje produkata</w:t>
            </w:r>
          </w:p>
          <w:p w:rsidR="001E641D" w:rsidRPr="001E641D" w:rsidRDefault="001E641D" w:rsidP="001E641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E641D">
              <w:rPr>
                <w:rFonts w:asciiTheme="majorHAnsi" w:hAnsiTheme="majorHAnsi" w:cs="Arial"/>
                <w:b/>
                <w:sz w:val="18"/>
                <w:szCs w:val="18"/>
              </w:rPr>
              <w:t>Hemijska analiza produkata sinteze</w:t>
            </w:r>
          </w:p>
          <w:p w:rsidR="00CB72ED" w:rsidRPr="00B96B4F" w:rsidRDefault="001E641D" w:rsidP="001E641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E641D">
              <w:rPr>
                <w:rFonts w:asciiTheme="majorHAnsi" w:hAnsiTheme="majorHAnsi" w:cs="Arial"/>
                <w:b/>
                <w:sz w:val="18"/>
                <w:szCs w:val="18"/>
              </w:rPr>
              <w:t xml:space="preserve">Determinacija čistoće spektrofotometrijskim, difrakcionim i termičkim metodama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1E641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E641D" w:rsidRPr="001E641D">
              <w:rPr>
                <w:rFonts w:asciiTheme="majorHAnsi" w:hAnsiTheme="majorHAnsi" w:cs="Arial"/>
                <w:b/>
                <w:sz w:val="18"/>
                <w:szCs w:val="18"/>
              </w:rPr>
              <w:t>U cilju efikasnog izvođenja nastave i postizanja očekivanih ciljeva kursa i kompetencija studenata na kraju semestra tokom realizacije kursa se koriste različite nastavne metode: - predavanja (P) uz upotrebu multimedijalnih sredstava, tehnika aktivnog učenja i uz aktivno učešće i diskusije studenata- konsultacije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E4C8D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E641D" w:rsidRPr="001E641D">
              <w:rPr>
                <w:rFonts w:asciiTheme="majorHAnsi" w:hAnsiTheme="majorHAnsi" w:cs="Arial"/>
                <w:b/>
                <w:sz w:val="18"/>
                <w:szCs w:val="18"/>
              </w:rPr>
              <w:t>Za provjeru usvojenog znanja na predmetu za studente koji slušaju kurs koriste se: - pismene i/ili - usmene metode. Pismene metode obuhvataju pismenu provjeru znanja na testovima (mini ispitima)  nakon određenih oblasti nastavnog plana.  Pismeni ispiti obuhvataju odvojeno polaganje dijela koji se odnosi na rješavanje primjera/zadataka i dijela koji se odnosi na poznavanje teorije apsolvirane oblasti.  Usmeni dio provjere znanja podrazumijeva odbranu timskog projekta putem prezentacije i druge vidove verbalne komunikacije kroz interaktivni rad. Usmeni ispit Ukoliko student nije ocjenom ili brojem bodova tokom cijelog nastavnog procesa i organizovanja završnih ispita može tražiti dodatnu usmenu provjeru znanja iz segmenta u kome želi popraviti svoje rezultate. Predmetni nastavnik može, u slučaju procjene da je to potrebno, tražiti da se žalba studenta na ocjenu riješi tako da se ponovi provjera znanja na način kako je to prvobitno urađeno, vodeći računa o osnovanosti žalbe.  Usmena provjera znanja i vještina organizovat će se kao kraća diskusija, od 15-30 minuta, sa osvrtom na srž kursa ili kao test sa ponuđenim pitanjima, te na osnovu rezultata studentima će se predložiti način rješavanja žalbe na stečeni broj bodova.</w:t>
            </w:r>
          </w:p>
          <w:p w:rsidR="004E4C8D" w:rsidRDefault="004E4C8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Test I                                         20 b</w:t>
            </w:r>
          </w:p>
          <w:p w:rsidR="004E4C8D" w:rsidRDefault="004E4C8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Test II                                       20 b</w:t>
            </w:r>
          </w:p>
          <w:p w:rsidR="004E4C8D" w:rsidRDefault="004E4C8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Timski projekat                   10 b</w:t>
            </w:r>
          </w:p>
          <w:p w:rsidR="00CB72ED" w:rsidRPr="00B96B4F" w:rsidRDefault="004E4C8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Završni ispit                           50 b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E641D" w:rsidRPr="001E641D" w:rsidRDefault="00D05D23" w:rsidP="001E641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E641D" w:rsidRPr="001E641D">
              <w:rPr>
                <w:rFonts w:asciiTheme="majorHAnsi" w:hAnsiTheme="majorHAnsi" w:cs="Arial"/>
                <w:b/>
                <w:sz w:val="18"/>
                <w:szCs w:val="18"/>
              </w:rPr>
              <w:t>BrojčanaSlovna</w:t>
            </w:r>
            <w:r w:rsidR="001E641D" w:rsidRPr="001E641D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 w:rsidR="001E641D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</w:t>
            </w:r>
            <w:r w:rsidR="001E641D" w:rsidRPr="001E641D">
              <w:rPr>
                <w:rFonts w:asciiTheme="majorHAnsi" w:hAnsiTheme="majorHAnsi" w:cs="Arial"/>
                <w:b/>
                <w:sz w:val="18"/>
                <w:szCs w:val="18"/>
              </w:rPr>
              <w:t>Opisna</w:t>
            </w:r>
            <w:r w:rsidR="001E641D" w:rsidRPr="001E641D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 w:rsidR="001E641D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</w:t>
            </w:r>
            <w:r w:rsidR="001E641D" w:rsidRPr="001E641D">
              <w:rPr>
                <w:rFonts w:asciiTheme="majorHAnsi" w:hAnsiTheme="majorHAnsi" w:cs="Arial"/>
                <w:b/>
                <w:sz w:val="18"/>
                <w:szCs w:val="18"/>
              </w:rPr>
              <w:t>Bodovi</w:t>
            </w:r>
          </w:p>
          <w:p w:rsidR="001E641D" w:rsidRPr="001E641D" w:rsidRDefault="001E641D" w:rsidP="001E641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E641D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  <w:r w:rsidRPr="001E641D">
              <w:rPr>
                <w:rFonts w:asciiTheme="majorHAnsi" w:hAnsiTheme="majorHAnsi" w:cs="Arial"/>
                <w:b/>
                <w:sz w:val="18"/>
                <w:szCs w:val="18"/>
              </w:rPr>
              <w:tab/>
              <w:t>A</w:t>
            </w:r>
            <w:r w:rsidRPr="001E641D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Izuzetan uspjeh bez grešaka ili s neznatnim greškama</w:t>
            </w:r>
            <w:r w:rsidRPr="001E641D">
              <w:rPr>
                <w:rFonts w:asciiTheme="majorHAnsi" w:hAnsiTheme="majorHAnsi" w:cs="Arial"/>
                <w:b/>
                <w:sz w:val="18"/>
                <w:szCs w:val="18"/>
              </w:rPr>
              <w:tab/>
              <w:t>95-100</w:t>
            </w:r>
          </w:p>
          <w:p w:rsidR="001E641D" w:rsidRPr="001E641D" w:rsidRDefault="001E641D" w:rsidP="001E641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E641D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Pr="001E641D">
              <w:rPr>
                <w:rFonts w:asciiTheme="majorHAnsi" w:hAnsiTheme="majorHAnsi" w:cs="Arial"/>
                <w:b/>
                <w:sz w:val="18"/>
                <w:szCs w:val="18"/>
              </w:rPr>
              <w:tab/>
              <w:t>B</w:t>
            </w:r>
            <w:r w:rsidRPr="001E641D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Iznad prosjeka, s ponekom greškom</w:t>
            </w:r>
            <w:r w:rsidRPr="001E641D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</w:t>
            </w:r>
            <w:r w:rsidRPr="001E641D">
              <w:rPr>
                <w:rFonts w:asciiTheme="majorHAnsi" w:hAnsiTheme="majorHAnsi" w:cs="Arial"/>
                <w:b/>
                <w:sz w:val="18"/>
                <w:szCs w:val="18"/>
              </w:rPr>
              <w:t>85-94</w:t>
            </w:r>
          </w:p>
          <w:p w:rsidR="001E641D" w:rsidRPr="001E641D" w:rsidRDefault="001E641D" w:rsidP="001E641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E641D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Pr="001E641D">
              <w:rPr>
                <w:rFonts w:asciiTheme="majorHAnsi" w:hAnsiTheme="majorHAnsi" w:cs="Arial"/>
                <w:b/>
                <w:sz w:val="18"/>
                <w:szCs w:val="18"/>
              </w:rPr>
              <w:tab/>
              <w:t>C</w:t>
            </w:r>
            <w:r w:rsidRPr="001E641D">
              <w:rPr>
                <w:rFonts w:asciiTheme="majorHAnsi" w:hAnsiTheme="majorHAnsi" w:cs="Arial"/>
                <w:b/>
                <w:sz w:val="18"/>
                <w:szCs w:val="18"/>
              </w:rPr>
              <w:tab/>
              <w:t>Prosječan, s primjetnim greškama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</w:t>
            </w:r>
            <w:r w:rsidRPr="001E641D">
              <w:rPr>
                <w:rFonts w:asciiTheme="majorHAnsi" w:hAnsiTheme="majorHAnsi" w:cs="Arial"/>
                <w:b/>
                <w:sz w:val="18"/>
                <w:szCs w:val="18"/>
              </w:rPr>
              <w:tab/>
              <w:t>75-84</w:t>
            </w:r>
          </w:p>
          <w:p w:rsidR="001E641D" w:rsidRPr="001E641D" w:rsidRDefault="001E641D" w:rsidP="001E641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E641D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Pr="001E641D">
              <w:rPr>
                <w:rFonts w:asciiTheme="majorHAnsi" w:hAnsiTheme="majorHAnsi" w:cs="Arial"/>
                <w:b/>
                <w:sz w:val="18"/>
                <w:szCs w:val="18"/>
              </w:rPr>
              <w:tab/>
              <w:t>D</w:t>
            </w:r>
            <w:r w:rsidRPr="001E641D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Općenito dobar, ali sa značajnim nedostacima</w:t>
            </w:r>
            <w:r w:rsidRPr="001E641D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</w:t>
            </w:r>
            <w:r w:rsidRPr="001E641D">
              <w:rPr>
                <w:rFonts w:asciiTheme="majorHAnsi" w:hAnsiTheme="majorHAnsi" w:cs="Arial"/>
                <w:b/>
                <w:sz w:val="18"/>
                <w:szCs w:val="18"/>
              </w:rPr>
              <w:t>65-74</w:t>
            </w:r>
          </w:p>
          <w:p w:rsidR="001E641D" w:rsidRPr="001E641D" w:rsidRDefault="001E641D" w:rsidP="001E641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E641D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Pr="001E641D">
              <w:rPr>
                <w:rFonts w:asciiTheme="majorHAnsi" w:hAnsiTheme="majorHAnsi" w:cs="Arial"/>
                <w:b/>
                <w:sz w:val="18"/>
                <w:szCs w:val="18"/>
              </w:rPr>
              <w:tab/>
              <w:t>E</w:t>
            </w:r>
            <w:r w:rsidRPr="001E641D">
              <w:rPr>
                <w:rFonts w:asciiTheme="majorHAnsi" w:hAnsiTheme="majorHAnsi" w:cs="Arial"/>
                <w:b/>
                <w:sz w:val="18"/>
                <w:szCs w:val="18"/>
              </w:rPr>
              <w:tab/>
              <w:t>Zadovoljava minimalne kriterije</w:t>
            </w:r>
            <w:r w:rsidRPr="001E641D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</w:t>
            </w:r>
            <w:r w:rsidRPr="001E641D">
              <w:rPr>
                <w:rFonts w:asciiTheme="majorHAnsi" w:hAnsiTheme="majorHAnsi" w:cs="Arial"/>
                <w:b/>
                <w:sz w:val="18"/>
                <w:szCs w:val="18"/>
              </w:rPr>
              <w:t>55-64</w:t>
            </w:r>
          </w:p>
          <w:p w:rsidR="00CB72ED" w:rsidRPr="00B96B4F" w:rsidRDefault="001E641D" w:rsidP="001E641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E641D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1E641D">
              <w:rPr>
                <w:rFonts w:asciiTheme="majorHAnsi" w:hAnsiTheme="majorHAnsi" w:cs="Arial"/>
                <w:b/>
                <w:sz w:val="18"/>
                <w:szCs w:val="18"/>
              </w:rPr>
              <w:tab/>
              <w:t>F,FX</w:t>
            </w:r>
            <w:r w:rsidRPr="001E641D">
              <w:rPr>
                <w:rFonts w:asciiTheme="majorHAnsi" w:hAnsiTheme="majorHAnsi" w:cs="Arial"/>
                <w:b/>
                <w:sz w:val="18"/>
                <w:szCs w:val="18"/>
              </w:rPr>
              <w:tab/>
              <w:t>Ne zadovoljava minimalne kriterije</w:t>
            </w:r>
            <w:r w:rsidRPr="001E641D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</w:t>
            </w:r>
            <w:r w:rsidRPr="001E641D">
              <w:rPr>
                <w:rFonts w:asciiTheme="majorHAnsi" w:hAnsiTheme="majorHAnsi" w:cs="Arial"/>
                <w:b/>
                <w:sz w:val="18"/>
                <w:szCs w:val="18"/>
              </w:rPr>
              <w:t>&lt;55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1E641D" w:rsidRPr="001E641D">
              <w:rPr>
                <w:rFonts w:asciiTheme="majorHAnsi" w:hAnsiTheme="majorHAnsi" w:cs="Arial"/>
                <w:b/>
                <w:sz w:val="18"/>
                <w:szCs w:val="18"/>
              </w:rPr>
              <w:t>1. Emira Kahrović, Uvod u eksperimentalnu anorgansku hemiju, Prirodno-matematiĉki fakultet, 2011.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1E641D" w:rsidRPr="001E641D">
              <w:rPr>
                <w:rFonts w:asciiTheme="majorHAnsi" w:hAnsiTheme="majorHAnsi" w:cs="Arial"/>
                <w:b/>
                <w:sz w:val="18"/>
                <w:szCs w:val="18"/>
              </w:rPr>
              <w:t>1.G. S. Girolami, T. T. B. Rauchfuss, R. J. Angelici, Synthesis and technique in inorganic chemistry; University Science Books; 1999.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1E641D" w:rsidRPr="001E641D">
              <w:rPr>
                <w:rFonts w:asciiTheme="majorHAnsi" w:hAnsiTheme="majorHAnsi" w:cs="Arial"/>
                <w:b/>
                <w:sz w:val="18"/>
                <w:szCs w:val="18"/>
              </w:rPr>
              <w:t>2026/27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753836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753836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753836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753836">
              <w:rPr>
                <w:rFonts w:asciiTheme="majorHAnsi" w:hAnsiTheme="majorHAnsi" w:cs="Arial"/>
                <w:b/>
                <w:spacing w:val="215"/>
                <w:sz w:val="18"/>
                <w:szCs w:val="18"/>
              </w:rPr>
              <w:t>    </w:t>
            </w:r>
            <w:r w:rsidR="00FB48B6" w:rsidRPr="00753836">
              <w:rPr>
                <w:rFonts w:asciiTheme="majorHAnsi" w:hAnsiTheme="majorHAnsi" w:cs="Arial"/>
                <w:b/>
                <w:spacing w:val="3"/>
                <w:sz w:val="18"/>
                <w:szCs w:val="18"/>
              </w:rPr>
              <w:t> </w:t>
            </w:r>
            <w:r w:rsidRPr="00753836">
              <w:rPr>
                <w:rFonts w:asciiTheme="majorHAnsi" w:hAnsiTheme="majorHAnsi" w:cs="Arial"/>
                <w:b/>
                <w:spacing w:val="3"/>
                <w:sz w:val="18"/>
                <w:szCs w:val="18"/>
              </w:rPr>
              <w:fldChar w:fldCharType="end"/>
            </w:r>
          </w:p>
        </w:tc>
      </w:tr>
      <w:tr w:rsidR="00CB72ED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761A" w:rsidRDefault="0086761A">
      <w:pPr>
        <w:spacing w:line="240" w:lineRule="auto"/>
      </w:pPr>
      <w:r>
        <w:separator/>
      </w:r>
    </w:p>
  </w:endnote>
  <w:endnote w:type="continuationSeparator" w:id="0">
    <w:p w:rsidR="0086761A" w:rsidRDefault="0086761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>
      <w:trPr>
        <w:trHeight w:val="445"/>
      </w:trPr>
      <w:tc>
        <w:tcPr>
          <w:tcW w:w="1470" w:type="dxa"/>
          <w:tcMar>
            <w:top w:w="28" w:type="dxa"/>
          </w:tcMar>
        </w:tcPr>
        <w:p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EA7617">
            <w:rPr>
              <w:rFonts w:ascii="Cambria" w:hAnsi="Cambria" w:cs="Calibri"/>
              <w:noProof/>
              <w:sz w:val="16"/>
              <w:szCs w:val="16"/>
            </w:rPr>
            <w:t>29.4.2026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EA7617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EA7617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761A" w:rsidRDefault="0086761A">
      <w:pPr>
        <w:spacing w:after="0"/>
      </w:pPr>
      <w:r>
        <w:separator/>
      </w:r>
    </w:p>
  </w:footnote>
  <w:footnote w:type="continuationSeparator" w:id="0">
    <w:p w:rsidR="0086761A" w:rsidRDefault="0086761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72ED" w:rsidRDefault="00CB72ED">
    <w:pPr>
      <w:pStyle w:val="Header"/>
    </w:pPr>
  </w:p>
  <w:p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1519C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E641D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4C8D"/>
    <w:rsid w:val="004E5C03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53836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6761A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4EE7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617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8AF5C4-AB78-4421-B917-A3C1D4D31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A8D571-08C2-48C9-B915-0DA8B289C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865</Words>
  <Characters>4936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Aldina</cp:lastModifiedBy>
  <cp:revision>4</cp:revision>
  <cp:lastPrinted>2024-03-19T08:24:00Z</cp:lastPrinted>
  <dcterms:created xsi:type="dcterms:W3CDTF">2026-04-28T10:24:00Z</dcterms:created>
  <dcterms:modified xsi:type="dcterms:W3CDTF">2026-04-29T08:09:00Z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